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7A" w:rsidRDefault="00057C4B" w:rsidP="00D55F7A">
      <w:pPr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T</w:t>
      </w:r>
      <w:r w:rsidR="00D55F7A">
        <w:rPr>
          <w:b/>
          <w:sz w:val="36"/>
          <w:szCs w:val="36"/>
        </w:rPr>
        <w:t xml:space="preserve">echnický popis </w:t>
      </w:r>
      <w:proofErr w:type="spellStart"/>
      <w:r w:rsidR="005C71BE">
        <w:rPr>
          <w:b/>
          <w:sz w:val="36"/>
          <w:szCs w:val="36"/>
        </w:rPr>
        <w:t>zpi</w:t>
      </w:r>
      <w:proofErr w:type="spellEnd"/>
      <w:r w:rsidR="005C71BE">
        <w:rPr>
          <w:b/>
          <w:sz w:val="36"/>
          <w:szCs w:val="36"/>
        </w:rPr>
        <w:t>-</w:t>
      </w:r>
      <w:r w:rsidR="00D55F7A">
        <w:rPr>
          <w:b/>
          <w:sz w:val="36"/>
          <w:szCs w:val="36"/>
        </w:rPr>
        <w:t>meteostanice</w:t>
      </w:r>
    </w:p>
    <w:bookmarkEnd w:id="0"/>
    <w:p w:rsidR="00D45DEF" w:rsidRPr="00083FE3" w:rsidRDefault="005C71BE" w:rsidP="00D55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ZPI-s</w:t>
      </w:r>
      <w:r w:rsidR="006A1E2C" w:rsidRPr="00083FE3">
        <w:rPr>
          <w:b/>
          <w:sz w:val="24"/>
          <w:szCs w:val="24"/>
        </w:rPr>
        <w:t>ilniční meteorologická stanice II/</w:t>
      </w:r>
      <w:r w:rsidR="00D55F7A" w:rsidRPr="00083FE3">
        <w:rPr>
          <w:b/>
          <w:sz w:val="24"/>
          <w:szCs w:val="24"/>
        </w:rPr>
        <w:t>198</w:t>
      </w:r>
      <w:r w:rsidR="006A1E2C" w:rsidRPr="00083FE3">
        <w:rPr>
          <w:b/>
          <w:sz w:val="24"/>
          <w:szCs w:val="24"/>
        </w:rPr>
        <w:t xml:space="preserve"> </w:t>
      </w:r>
      <w:r w:rsidR="00D55F7A" w:rsidRPr="00083FE3">
        <w:rPr>
          <w:b/>
          <w:sz w:val="24"/>
          <w:szCs w:val="24"/>
        </w:rPr>
        <w:t>Horní Kramolín</w:t>
      </w:r>
    </w:p>
    <w:p w:rsidR="00D55F7A" w:rsidRPr="00D55F7A" w:rsidRDefault="00D55F7A" w:rsidP="00184B50">
      <w:pPr>
        <w:jc w:val="both"/>
        <w:rPr>
          <w:b/>
          <w:sz w:val="24"/>
        </w:rPr>
      </w:pPr>
      <w:r w:rsidRPr="00D55F7A">
        <w:rPr>
          <w:b/>
          <w:sz w:val="24"/>
        </w:rPr>
        <w:t>Obecný popis zařízení</w:t>
      </w:r>
      <w:r w:rsidR="0060126F">
        <w:rPr>
          <w:b/>
          <w:sz w:val="24"/>
        </w:rPr>
        <w:t xml:space="preserve"> a funkce</w:t>
      </w:r>
    </w:p>
    <w:p w:rsidR="00D45DEF" w:rsidRDefault="006C6E52" w:rsidP="00184B50">
      <w:pPr>
        <w:jc w:val="both"/>
        <w:rPr>
          <w:sz w:val="24"/>
        </w:rPr>
      </w:pPr>
      <w:r>
        <w:t>ZPI-</w:t>
      </w:r>
      <w:r w:rsidR="00D45DEF" w:rsidRPr="00D45DEF">
        <w:rPr>
          <w:sz w:val="24"/>
        </w:rPr>
        <w:t xml:space="preserve">SMS je </w:t>
      </w:r>
      <w:r w:rsidR="00D55F7A">
        <w:rPr>
          <w:sz w:val="24"/>
        </w:rPr>
        <w:t>uvažována v úseku pr</w:t>
      </w:r>
      <w:r w:rsidR="005C71BE">
        <w:rPr>
          <w:sz w:val="24"/>
        </w:rPr>
        <w:t>a</w:t>
      </w:r>
      <w:r w:rsidR="00D55F7A">
        <w:rPr>
          <w:sz w:val="24"/>
        </w:rPr>
        <w:t xml:space="preserve">vé a levé zatáčky </w:t>
      </w:r>
      <w:r w:rsidR="0060126F">
        <w:rPr>
          <w:sz w:val="24"/>
        </w:rPr>
        <w:t xml:space="preserve">na </w:t>
      </w:r>
      <w:r w:rsidR="00D55F7A">
        <w:rPr>
          <w:sz w:val="24"/>
        </w:rPr>
        <w:t>komunikac</w:t>
      </w:r>
      <w:r w:rsidR="0060126F">
        <w:rPr>
          <w:sz w:val="24"/>
        </w:rPr>
        <w:t>i</w:t>
      </w:r>
      <w:r w:rsidR="00D55F7A">
        <w:rPr>
          <w:sz w:val="24"/>
        </w:rPr>
        <w:t xml:space="preserve"> II/198</w:t>
      </w:r>
      <w:r w:rsidR="0060126F">
        <w:rPr>
          <w:sz w:val="24"/>
        </w:rPr>
        <w:t xml:space="preserve"> km</w:t>
      </w:r>
      <w:r w:rsidR="00D55F7A">
        <w:rPr>
          <w:sz w:val="24"/>
        </w:rPr>
        <w:t xml:space="preserve"> 33,000 u </w:t>
      </w:r>
      <w:r w:rsidR="00D45DEF" w:rsidRPr="00D45DEF">
        <w:rPr>
          <w:sz w:val="24"/>
        </w:rPr>
        <w:t xml:space="preserve">obce </w:t>
      </w:r>
      <w:r w:rsidR="00D55F7A">
        <w:rPr>
          <w:sz w:val="24"/>
        </w:rPr>
        <w:t>Horní Kramolín</w:t>
      </w:r>
      <w:r w:rsidR="00D45DEF" w:rsidRPr="00D45DEF">
        <w:rPr>
          <w:sz w:val="24"/>
        </w:rPr>
        <w:t>.</w:t>
      </w:r>
      <w:r w:rsidR="00D45DEF">
        <w:rPr>
          <w:sz w:val="24"/>
        </w:rPr>
        <w:t xml:space="preserve"> Z důvodu nedostupnosti zdroje elektřiny je stanice </w:t>
      </w:r>
      <w:r w:rsidR="00D55F7A">
        <w:rPr>
          <w:sz w:val="24"/>
        </w:rPr>
        <w:t>požadována</w:t>
      </w:r>
      <w:r w:rsidR="00D45DEF">
        <w:rPr>
          <w:sz w:val="24"/>
        </w:rPr>
        <w:t xml:space="preserve"> na napájení z nezávislých zdrojů (solární energie + palivový článek)</w:t>
      </w:r>
      <w:r w:rsidR="00D55F7A">
        <w:rPr>
          <w:sz w:val="24"/>
        </w:rPr>
        <w:t xml:space="preserve"> a bude </w:t>
      </w:r>
      <w:r w:rsidR="00D45DEF">
        <w:rPr>
          <w:sz w:val="24"/>
        </w:rPr>
        <w:t>vybavena senzory pro měření atmosférickýc</w:t>
      </w:r>
      <w:r w:rsidR="00184B50">
        <w:rPr>
          <w:sz w:val="24"/>
        </w:rPr>
        <w:t xml:space="preserve">h parametrů a vozovkovým čidlem. Všechny senzory splňují parametry ČHMÚ a dále specifikaci lokální stanice dle dokumentace ŘSD ČR a Sdružení pro dopravní telematiku. Stanice </w:t>
      </w:r>
      <w:r w:rsidR="00D55F7A">
        <w:rPr>
          <w:sz w:val="24"/>
        </w:rPr>
        <w:t>bude</w:t>
      </w:r>
      <w:r w:rsidR="00184B50">
        <w:rPr>
          <w:sz w:val="24"/>
        </w:rPr>
        <w:t xml:space="preserve"> vybavena výstražným blikačem, který varuje řidiče před nebezpečnými stavy vozovky, do jedné minuty od vzniku jevu. Zařízení </w:t>
      </w:r>
      <w:r w:rsidR="00D55F7A">
        <w:rPr>
          <w:sz w:val="24"/>
        </w:rPr>
        <w:t xml:space="preserve">bude </w:t>
      </w:r>
      <w:r w:rsidR="00184B50">
        <w:rPr>
          <w:sz w:val="24"/>
        </w:rPr>
        <w:t>měřená data předáv</w:t>
      </w:r>
      <w:r w:rsidR="00D55F7A">
        <w:rPr>
          <w:sz w:val="24"/>
        </w:rPr>
        <w:t>at</w:t>
      </w:r>
      <w:r w:rsidR="00184B50">
        <w:rPr>
          <w:sz w:val="24"/>
        </w:rPr>
        <w:t xml:space="preserve"> prostřednictvím mobilní sítě do celostátního systému pro řízení zimní údržby Ředitelství silnic a dálnic, do kterého mají přístup i lokální střediska zimní údržby, která naměřená data vidí do dvou minut od měření.</w:t>
      </w:r>
      <w:r>
        <w:rPr>
          <w:sz w:val="24"/>
        </w:rPr>
        <w:t xml:space="preserve"> Zařízení </w:t>
      </w:r>
      <w:r w:rsidR="00D55F7A">
        <w:rPr>
          <w:sz w:val="24"/>
        </w:rPr>
        <w:t>bude</w:t>
      </w:r>
      <w:r>
        <w:rPr>
          <w:sz w:val="24"/>
        </w:rPr>
        <w:t xml:space="preserve"> dále vybaven</w:t>
      </w:r>
      <w:r w:rsidR="00D55F7A">
        <w:rPr>
          <w:sz w:val="24"/>
        </w:rPr>
        <w:t>o</w:t>
      </w:r>
      <w:r>
        <w:rPr>
          <w:sz w:val="24"/>
        </w:rPr>
        <w:t xml:space="preserve"> kamerovým systémem, který </w:t>
      </w:r>
      <w:r w:rsidR="00D55F7A">
        <w:rPr>
          <w:sz w:val="24"/>
        </w:rPr>
        <w:t xml:space="preserve">bude </w:t>
      </w:r>
      <w:r>
        <w:rPr>
          <w:sz w:val="24"/>
        </w:rPr>
        <w:t>v intervalu 5 minut zasíl</w:t>
      </w:r>
      <w:r w:rsidR="00D55F7A">
        <w:rPr>
          <w:sz w:val="24"/>
        </w:rPr>
        <w:t>at</w:t>
      </w:r>
      <w:r>
        <w:rPr>
          <w:sz w:val="24"/>
        </w:rPr>
        <w:t xml:space="preserve"> statický obrázek</w:t>
      </w:r>
      <w:r w:rsidR="00D55F7A">
        <w:rPr>
          <w:sz w:val="24"/>
        </w:rPr>
        <w:t xml:space="preserve"> </w:t>
      </w:r>
      <w:r>
        <w:rPr>
          <w:sz w:val="24"/>
        </w:rPr>
        <w:t>stavu na silnici do dispečerského systému ŘSD, kde je publikován pro dispečinky SÚS.</w:t>
      </w:r>
    </w:p>
    <w:p w:rsidR="006C6E52" w:rsidRDefault="006C6E52" w:rsidP="00184B50">
      <w:pPr>
        <w:jc w:val="both"/>
        <w:rPr>
          <w:sz w:val="24"/>
        </w:rPr>
      </w:pPr>
    </w:p>
    <w:p w:rsidR="00D55F7A" w:rsidRPr="00D55F7A" w:rsidRDefault="00D55F7A" w:rsidP="006C6E52">
      <w:pPr>
        <w:jc w:val="both"/>
        <w:rPr>
          <w:b/>
          <w:sz w:val="24"/>
        </w:rPr>
      </w:pPr>
      <w:r>
        <w:rPr>
          <w:b/>
          <w:sz w:val="24"/>
        </w:rPr>
        <w:t>Technické parametry -</w:t>
      </w:r>
      <w:r w:rsidRPr="00D55F7A">
        <w:rPr>
          <w:b/>
          <w:sz w:val="24"/>
        </w:rPr>
        <w:t xml:space="preserve"> ZPI SMS</w:t>
      </w:r>
    </w:p>
    <w:p w:rsidR="006C6E52" w:rsidRPr="006C6E52" w:rsidRDefault="006C6E52" w:rsidP="006C6E52">
      <w:pPr>
        <w:jc w:val="both"/>
        <w:rPr>
          <w:sz w:val="24"/>
        </w:rPr>
      </w:pPr>
      <w:r w:rsidRPr="006C6E52">
        <w:rPr>
          <w:sz w:val="24"/>
        </w:rPr>
        <w:t xml:space="preserve">Elektronika ZPI-SMS včetně napájecí části a přenosové technologie </w:t>
      </w:r>
      <w:r w:rsidR="00D55F7A">
        <w:rPr>
          <w:sz w:val="24"/>
        </w:rPr>
        <w:t>bude</w:t>
      </w:r>
      <w:r w:rsidRPr="006C6E52">
        <w:rPr>
          <w:sz w:val="24"/>
        </w:rPr>
        <w:t xml:space="preserve"> umístěna na stožáru, v krytu odolném proti vandalismu.</w:t>
      </w:r>
    </w:p>
    <w:p w:rsidR="006C6E52" w:rsidRPr="006C6E52" w:rsidRDefault="006C6E52" w:rsidP="006C6E52">
      <w:pPr>
        <w:jc w:val="both"/>
        <w:rPr>
          <w:b/>
          <w:sz w:val="24"/>
        </w:rPr>
      </w:pPr>
      <w:r w:rsidRPr="006C6E52">
        <w:rPr>
          <w:b/>
          <w:sz w:val="24"/>
        </w:rPr>
        <w:t>ZPI (zařízení pro provozní informace - LED technologie)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Rozsah funkčnosti v teplotním rozsahu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-</w:t>
            </w:r>
            <w:r>
              <w:rPr>
                <w:sz w:val="24"/>
              </w:rPr>
              <w:t>40</w:t>
            </w:r>
            <w:r w:rsidRPr="006C6E52">
              <w:rPr>
                <w:sz w:val="24"/>
              </w:rPr>
              <w:t xml:space="preserve"> až +</w:t>
            </w:r>
            <w:r>
              <w:rPr>
                <w:sz w:val="24"/>
              </w:rPr>
              <w:t>60</w:t>
            </w:r>
            <w:r w:rsidRPr="006C6E52">
              <w:rPr>
                <w:sz w:val="24"/>
              </w:rPr>
              <w:t xml:space="preserve"> °C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Napájení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12-24V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Komunikační rozhraní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digitální nebo analogové</w:t>
            </w:r>
          </w:p>
        </w:tc>
      </w:tr>
      <w:tr w:rsidR="006C6E52" w:rsidRPr="006C6E52" w:rsidTr="009050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Stupeň krytí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IP66</w:t>
            </w:r>
          </w:p>
        </w:tc>
      </w:tr>
    </w:tbl>
    <w:p w:rsidR="006C6E52" w:rsidRPr="006C6E52" w:rsidRDefault="006C6E52" w:rsidP="006C6E52">
      <w:pPr>
        <w:jc w:val="both"/>
        <w:rPr>
          <w:sz w:val="24"/>
        </w:rPr>
      </w:pPr>
    </w:p>
    <w:p w:rsidR="006C6E52" w:rsidRPr="006C6E52" w:rsidRDefault="006C6E52" w:rsidP="006C6E52">
      <w:pPr>
        <w:jc w:val="both"/>
        <w:rPr>
          <w:b/>
          <w:sz w:val="24"/>
        </w:rPr>
      </w:pPr>
      <w:r w:rsidRPr="006C6E52">
        <w:rPr>
          <w:b/>
          <w:sz w:val="24"/>
        </w:rPr>
        <w:t>Kombinovaný senzor teplota/vlhkost</w:t>
      </w:r>
    </w:p>
    <w:p w:rsidR="006C6E52" w:rsidRPr="006C6E52" w:rsidRDefault="006C6E52" w:rsidP="006C6E52">
      <w:pPr>
        <w:jc w:val="both"/>
        <w:rPr>
          <w:sz w:val="24"/>
        </w:rPr>
      </w:pPr>
      <w:r w:rsidRPr="006C6E52">
        <w:rPr>
          <w:sz w:val="24"/>
        </w:rPr>
        <w:t xml:space="preserve">Senzor </w:t>
      </w:r>
      <w:r>
        <w:rPr>
          <w:sz w:val="24"/>
        </w:rPr>
        <w:t>je</w:t>
      </w:r>
      <w:r w:rsidRPr="006C6E52">
        <w:rPr>
          <w:sz w:val="24"/>
        </w:rPr>
        <w:t xml:space="preserve"> umístěn na výložníku ve výšce 4m nad vozovkou v odpovídajícím radiačním krytu.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Rozsah měření teploty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-40 až +60 °C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Přesnost teploty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±0,2 °C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Stupeň krytí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IP66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lastRenderedPageBreak/>
              <w:t xml:space="preserve">Rozsah měření </w:t>
            </w:r>
            <w:proofErr w:type="spellStart"/>
            <w:r w:rsidRPr="006C6E52">
              <w:rPr>
                <w:sz w:val="24"/>
              </w:rPr>
              <w:t>rel</w:t>
            </w:r>
            <w:proofErr w:type="spellEnd"/>
            <w:r w:rsidRPr="006C6E52">
              <w:rPr>
                <w:sz w:val="24"/>
              </w:rPr>
              <w:t>. vlhkosti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0-100</w:t>
            </w:r>
            <w:r w:rsidRPr="006C6E52">
              <w:rPr>
                <w:sz w:val="24"/>
                <w:lang w:val="en-US"/>
              </w:rPr>
              <w:t>%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Přesnost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±2% RH</w:t>
            </w:r>
          </w:p>
        </w:tc>
      </w:tr>
    </w:tbl>
    <w:p w:rsidR="006C6E52" w:rsidRPr="006C6E52" w:rsidRDefault="006C6E52" w:rsidP="006C6E52">
      <w:pPr>
        <w:jc w:val="both"/>
        <w:rPr>
          <w:sz w:val="24"/>
        </w:rPr>
      </w:pPr>
    </w:p>
    <w:p w:rsidR="006C6E52" w:rsidRPr="006C6E52" w:rsidRDefault="006C6E52" w:rsidP="006C6E52">
      <w:pPr>
        <w:jc w:val="both"/>
        <w:rPr>
          <w:b/>
          <w:sz w:val="24"/>
        </w:rPr>
      </w:pPr>
      <w:r w:rsidRPr="006C6E52">
        <w:rPr>
          <w:b/>
          <w:sz w:val="24"/>
        </w:rPr>
        <w:t>Senzor směru a rychlosti větru</w:t>
      </w:r>
    </w:p>
    <w:p w:rsidR="006C6E52" w:rsidRPr="006C6E52" w:rsidRDefault="006C6E52" w:rsidP="006C6E52">
      <w:pPr>
        <w:jc w:val="both"/>
        <w:rPr>
          <w:sz w:val="24"/>
        </w:rPr>
      </w:pPr>
      <w:r w:rsidRPr="006C6E52">
        <w:rPr>
          <w:sz w:val="24"/>
        </w:rPr>
        <w:t xml:space="preserve">Senzor měří směr a rychlost větru, na principu </w:t>
      </w:r>
      <w:proofErr w:type="spellStart"/>
      <w:r w:rsidRPr="006C6E52">
        <w:rPr>
          <w:sz w:val="24"/>
        </w:rPr>
        <w:t>Ultrasonic</w:t>
      </w:r>
      <w:proofErr w:type="spellEnd"/>
      <w:r w:rsidRPr="006C6E52">
        <w:rPr>
          <w:sz w:val="24"/>
        </w:rPr>
        <w:t>, bez pohyblivých</w:t>
      </w:r>
      <w:r>
        <w:rPr>
          <w:sz w:val="24"/>
        </w:rPr>
        <w:t xml:space="preserve"> </w:t>
      </w:r>
      <w:r w:rsidRPr="006C6E52">
        <w:rPr>
          <w:sz w:val="24"/>
        </w:rPr>
        <w:t>částí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Rozsah měření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0-70 m/s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Přesnost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±0,35 m/s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Stupeň krytí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IP66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Rozsah měření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0-359,9°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Přesnost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3°</w:t>
            </w:r>
          </w:p>
        </w:tc>
      </w:tr>
    </w:tbl>
    <w:p w:rsidR="006C6E52" w:rsidRPr="006C6E52" w:rsidRDefault="006C6E52" w:rsidP="006C6E52">
      <w:pPr>
        <w:jc w:val="both"/>
        <w:rPr>
          <w:b/>
          <w:sz w:val="24"/>
        </w:rPr>
      </w:pPr>
    </w:p>
    <w:p w:rsidR="006C6E52" w:rsidRPr="006C6E52" w:rsidRDefault="006C6E52" w:rsidP="006C6E52">
      <w:pPr>
        <w:jc w:val="both"/>
        <w:rPr>
          <w:b/>
          <w:sz w:val="24"/>
        </w:rPr>
      </w:pPr>
      <w:r w:rsidRPr="006C6E52">
        <w:rPr>
          <w:b/>
          <w:sz w:val="24"/>
        </w:rPr>
        <w:t>Silniční senzor</w:t>
      </w:r>
    </w:p>
    <w:p w:rsidR="006C6E52" w:rsidRPr="006C6E52" w:rsidRDefault="006C6E52" w:rsidP="006C6E52">
      <w:pPr>
        <w:jc w:val="both"/>
        <w:rPr>
          <w:sz w:val="24"/>
        </w:rPr>
      </w:pPr>
      <w:r w:rsidRPr="006C6E52">
        <w:rPr>
          <w:sz w:val="24"/>
        </w:rPr>
        <w:t xml:space="preserve">V obrusné vrstvě vozovky </w:t>
      </w:r>
      <w:r>
        <w:rPr>
          <w:sz w:val="24"/>
        </w:rPr>
        <w:t>je</w:t>
      </w:r>
      <w:r w:rsidRPr="006C6E52">
        <w:rPr>
          <w:sz w:val="24"/>
        </w:rPr>
        <w:t xml:space="preserve"> umístěno vozovkové čidlo, výškově ve stejné úrovni s povrchem vozovky. Jeho účelem </w:t>
      </w:r>
      <w:r>
        <w:rPr>
          <w:sz w:val="24"/>
        </w:rPr>
        <w:t>je</w:t>
      </w:r>
      <w:r w:rsidRPr="006C6E52">
        <w:rPr>
          <w:sz w:val="24"/>
        </w:rPr>
        <w:t xml:space="preserve"> měření parametrů povrchu vozovky. Senzor </w:t>
      </w:r>
      <w:r>
        <w:rPr>
          <w:sz w:val="24"/>
        </w:rPr>
        <w:t>rozlišuje</w:t>
      </w:r>
      <w:r w:rsidRPr="006C6E52">
        <w:rPr>
          <w:sz w:val="24"/>
        </w:rPr>
        <w:t xml:space="preserve"> stavy povrchu vozovky (suchý / vlhký / mokrý / sníh / led), teplotu namrzání, výšku vodního filmu a kluzkost.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Teplota povrchu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-</w:t>
            </w:r>
            <w:proofErr w:type="gramStart"/>
            <w:r w:rsidRPr="006C6E52">
              <w:rPr>
                <w:sz w:val="24"/>
              </w:rPr>
              <w:t>40..80°C</w:t>
            </w:r>
            <w:proofErr w:type="gramEnd"/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Přesnost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±0,2°C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Výška vodního filmu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 xml:space="preserve">0..3000 </w:t>
            </w:r>
            <w:proofErr w:type="spellStart"/>
            <w:r w:rsidRPr="006C6E52">
              <w:rPr>
                <w:sz w:val="24"/>
              </w:rPr>
              <w:t>μm</w:t>
            </w:r>
            <w:proofErr w:type="spellEnd"/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Teplota namrzání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proofErr w:type="gramStart"/>
            <w:r w:rsidRPr="006C6E52">
              <w:rPr>
                <w:sz w:val="24"/>
              </w:rPr>
              <w:t>0..-40°C</w:t>
            </w:r>
            <w:proofErr w:type="gramEnd"/>
            <w:r w:rsidRPr="006C6E52">
              <w:rPr>
                <w:sz w:val="24"/>
              </w:rPr>
              <w:t>, ±0,5°C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Kluzkost</w:t>
            </w:r>
          </w:p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Stupeň krytí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0..1</w:t>
            </w:r>
          </w:p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IP68</w:t>
            </w:r>
          </w:p>
        </w:tc>
      </w:tr>
    </w:tbl>
    <w:p w:rsidR="006C6E52" w:rsidRPr="006C6E52" w:rsidRDefault="006C6E52" w:rsidP="006C6E52">
      <w:pPr>
        <w:jc w:val="both"/>
        <w:rPr>
          <w:sz w:val="24"/>
        </w:rPr>
      </w:pPr>
    </w:p>
    <w:p w:rsidR="006C6E52" w:rsidRPr="006C6E52" w:rsidRDefault="006C6E52" w:rsidP="006C6E52">
      <w:pPr>
        <w:jc w:val="both"/>
        <w:rPr>
          <w:b/>
          <w:sz w:val="24"/>
        </w:rPr>
      </w:pPr>
      <w:r w:rsidRPr="006C6E52">
        <w:rPr>
          <w:b/>
          <w:sz w:val="24"/>
        </w:rPr>
        <w:t>Kamerový dozorový systém (KDS)</w:t>
      </w:r>
    </w:p>
    <w:p w:rsidR="006C6E52" w:rsidRPr="006C6E52" w:rsidRDefault="006C6E52" w:rsidP="006C6E52">
      <w:pPr>
        <w:jc w:val="both"/>
        <w:rPr>
          <w:sz w:val="24"/>
        </w:rPr>
      </w:pPr>
      <w:r w:rsidRPr="006C6E52">
        <w:rPr>
          <w:sz w:val="24"/>
        </w:rPr>
        <w:t xml:space="preserve">2 barevné kamery určené pro sledování prostoru v blízkosti instalace ZPI-SMS. Kamerami pořízené snímky </w:t>
      </w:r>
      <w:r>
        <w:rPr>
          <w:sz w:val="24"/>
        </w:rPr>
        <w:t>jsou</w:t>
      </w:r>
      <w:r w:rsidRPr="006C6E52">
        <w:rPr>
          <w:sz w:val="24"/>
        </w:rPr>
        <w:t xml:space="preserve"> přenášeny do centrály jednou za 5 minut. Součástí kamer </w:t>
      </w:r>
      <w:r>
        <w:rPr>
          <w:sz w:val="24"/>
        </w:rPr>
        <w:t>je</w:t>
      </w:r>
      <w:r w:rsidRPr="006C6E52">
        <w:rPr>
          <w:sz w:val="24"/>
        </w:rPr>
        <w:t xml:space="preserve"> i infračervený přísvit pro možnost pořízení záznamu ve večerních/nočních hodinách.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lastRenderedPageBreak/>
              <w:t>Rozlišení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HD (1280x720)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Citlivost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0,24 Lux, 0 Lux (IR)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Dynamický rozsah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76 dB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proofErr w:type="spellStart"/>
            <w:r w:rsidRPr="006C6E52">
              <w:rPr>
                <w:sz w:val="24"/>
              </w:rPr>
              <w:t>Videokomprese</w:t>
            </w:r>
            <w:proofErr w:type="spellEnd"/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H.264, M-JPEG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Napájení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 xml:space="preserve">12-24VDC, 48VDC </w:t>
            </w:r>
            <w:proofErr w:type="spellStart"/>
            <w:r w:rsidRPr="006C6E52">
              <w:rPr>
                <w:sz w:val="24"/>
              </w:rPr>
              <w:t>PoE</w:t>
            </w:r>
            <w:proofErr w:type="spellEnd"/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Noční vidění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IR, min. 25m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Typ optiky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proofErr w:type="spellStart"/>
            <w:r w:rsidRPr="006C6E52">
              <w:rPr>
                <w:sz w:val="24"/>
              </w:rPr>
              <w:t>Varifocal</w:t>
            </w:r>
            <w:proofErr w:type="spellEnd"/>
            <w:r w:rsidRPr="006C6E52">
              <w:rPr>
                <w:sz w:val="24"/>
              </w:rPr>
              <w:t xml:space="preserve"> 3 – 10 mm, DC Iris F1.3 – 360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Zorný úhel horizontální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36° - 107°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Zorný úhel vertikální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20° - 57°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Konektivita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ONVIF Profile S, Auto MDIX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Protokoly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IPv4, IPv6, UDP, TCP, HTTP, HTTPS, RTP/RTCP, IGMP V2/V3, ICMP, CMPv6, RTSP,FTP, Telnet, ARP, DHCP, SNTP, SNMP (V1,MIB</w:t>
            </w:r>
            <w:r w:rsidRPr="006C6E52">
              <w:rPr>
                <w:rFonts w:ascii="Cambria Math" w:hAnsi="Cambria Math" w:cs="Cambria Math"/>
                <w:sz w:val="24"/>
              </w:rPr>
              <w:t>‑</w:t>
            </w:r>
            <w:r w:rsidRPr="006C6E52">
              <w:rPr>
                <w:sz w:val="24"/>
              </w:rPr>
              <w:t xml:space="preserve">II), 802.1x, DNS, DNSv6, DDNS, </w:t>
            </w:r>
            <w:proofErr w:type="spellStart"/>
            <w:r w:rsidRPr="006C6E52">
              <w:rPr>
                <w:sz w:val="24"/>
              </w:rPr>
              <w:t>SMTP,iSCSI</w:t>
            </w:r>
            <w:proofErr w:type="spellEnd"/>
            <w:r w:rsidRPr="006C6E52">
              <w:rPr>
                <w:sz w:val="24"/>
              </w:rPr>
              <w:t xml:space="preserve">, </w:t>
            </w:r>
            <w:proofErr w:type="spellStart"/>
            <w:r w:rsidRPr="006C6E52">
              <w:rPr>
                <w:sz w:val="24"/>
              </w:rPr>
              <w:t>UPnP</w:t>
            </w:r>
            <w:proofErr w:type="spellEnd"/>
            <w:r w:rsidRPr="006C6E52">
              <w:rPr>
                <w:sz w:val="24"/>
              </w:rPr>
              <w:t xml:space="preserve"> (SSDP), </w:t>
            </w:r>
            <w:proofErr w:type="spellStart"/>
            <w:r w:rsidRPr="006C6E52">
              <w:rPr>
                <w:sz w:val="24"/>
              </w:rPr>
              <w:t>DiffServ</w:t>
            </w:r>
            <w:proofErr w:type="spellEnd"/>
            <w:r w:rsidRPr="006C6E52">
              <w:rPr>
                <w:sz w:val="24"/>
              </w:rPr>
              <w:t xml:space="preserve"> (</w:t>
            </w:r>
            <w:proofErr w:type="spellStart"/>
            <w:r w:rsidRPr="006C6E52">
              <w:rPr>
                <w:sz w:val="24"/>
              </w:rPr>
              <w:t>QoS</w:t>
            </w:r>
            <w:proofErr w:type="spellEnd"/>
            <w:r w:rsidRPr="006C6E52">
              <w:rPr>
                <w:sz w:val="24"/>
              </w:rPr>
              <w:t xml:space="preserve">), LLDP,SOAP, </w:t>
            </w:r>
            <w:proofErr w:type="spellStart"/>
            <w:r w:rsidRPr="006C6E52">
              <w:rPr>
                <w:sz w:val="24"/>
              </w:rPr>
              <w:t>Dropbox</w:t>
            </w:r>
            <w:proofErr w:type="spellEnd"/>
            <w:r w:rsidRPr="006C6E52">
              <w:rPr>
                <w:sz w:val="24"/>
              </w:rPr>
              <w:t xml:space="preserve">, CHAP, Digest </w:t>
            </w:r>
            <w:proofErr w:type="spellStart"/>
            <w:r w:rsidRPr="006C6E52">
              <w:rPr>
                <w:sz w:val="24"/>
              </w:rPr>
              <w:t>Authentication</w:t>
            </w:r>
            <w:proofErr w:type="spellEnd"/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proofErr w:type="spellStart"/>
            <w:r w:rsidRPr="006C6E52">
              <w:rPr>
                <w:sz w:val="24"/>
              </w:rPr>
              <w:t>Kryptování</w:t>
            </w:r>
            <w:proofErr w:type="spellEnd"/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TLS 1.0, SSL, DES, 3DES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Ethernet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10/100 Base-T, auto-</w:t>
            </w:r>
            <w:proofErr w:type="spellStart"/>
            <w:r w:rsidRPr="006C6E52">
              <w:rPr>
                <w:sz w:val="24"/>
              </w:rPr>
              <w:t>sensing</w:t>
            </w:r>
            <w:proofErr w:type="spellEnd"/>
            <w:r w:rsidRPr="006C6E52">
              <w:rPr>
                <w:sz w:val="24"/>
              </w:rPr>
              <w:t xml:space="preserve">, </w:t>
            </w:r>
            <w:proofErr w:type="spellStart"/>
            <w:r w:rsidRPr="006C6E52">
              <w:rPr>
                <w:sz w:val="24"/>
              </w:rPr>
              <w:t>half</w:t>
            </w:r>
            <w:proofErr w:type="spellEnd"/>
            <w:r w:rsidRPr="006C6E52">
              <w:rPr>
                <w:sz w:val="24"/>
              </w:rPr>
              <w:t>/full duplex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Provozní teplota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-30 °C až +50 °C (-22 °F to +122 °F)</w:t>
            </w:r>
          </w:p>
        </w:tc>
      </w:tr>
      <w:tr w:rsidR="006C6E52" w:rsidRPr="006C6E52" w:rsidTr="00905056"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>Snímková frekvence</w:t>
            </w:r>
          </w:p>
        </w:tc>
        <w:tc>
          <w:tcPr>
            <w:tcW w:w="4606" w:type="dxa"/>
          </w:tcPr>
          <w:p w:rsidR="006C6E52" w:rsidRPr="006C6E52" w:rsidRDefault="006C6E52" w:rsidP="006C6E52">
            <w:pPr>
              <w:spacing w:after="200" w:line="276" w:lineRule="auto"/>
              <w:jc w:val="both"/>
              <w:rPr>
                <w:sz w:val="24"/>
              </w:rPr>
            </w:pPr>
            <w:r w:rsidRPr="006C6E52">
              <w:rPr>
                <w:sz w:val="24"/>
              </w:rPr>
              <w:t xml:space="preserve">25 </w:t>
            </w:r>
            <w:proofErr w:type="spellStart"/>
            <w:r w:rsidRPr="006C6E52">
              <w:rPr>
                <w:sz w:val="24"/>
              </w:rPr>
              <w:t>fps</w:t>
            </w:r>
            <w:proofErr w:type="spellEnd"/>
          </w:p>
        </w:tc>
      </w:tr>
    </w:tbl>
    <w:p w:rsidR="006C6E52" w:rsidRPr="006C6E52" w:rsidRDefault="006C6E52" w:rsidP="006C6E52">
      <w:pPr>
        <w:jc w:val="both"/>
        <w:rPr>
          <w:sz w:val="24"/>
        </w:rPr>
      </w:pPr>
    </w:p>
    <w:p w:rsidR="00083FE3" w:rsidRDefault="00083FE3"/>
    <w:p w:rsidR="00083FE3" w:rsidRDefault="00083FE3"/>
    <w:p w:rsidR="00083FE3" w:rsidRDefault="00083FE3"/>
    <w:p w:rsidR="00083FE3" w:rsidRDefault="00083FE3"/>
    <w:p w:rsidR="00083FE3" w:rsidRDefault="00083FE3"/>
    <w:p w:rsidR="00083FE3" w:rsidRDefault="00083FE3"/>
    <w:p w:rsidR="00083FE3" w:rsidRDefault="00083FE3"/>
    <w:p w:rsidR="001726B7" w:rsidRPr="00083FE3" w:rsidRDefault="00083FE3">
      <w:pPr>
        <w:rPr>
          <w:b/>
          <w:sz w:val="24"/>
        </w:rPr>
      </w:pPr>
      <w:r w:rsidRPr="00083FE3">
        <w:rPr>
          <w:b/>
          <w:sz w:val="24"/>
        </w:rPr>
        <w:lastRenderedPageBreak/>
        <w:t>Uvažované místo</w:t>
      </w:r>
      <w:r>
        <w:rPr>
          <w:b/>
          <w:sz w:val="24"/>
        </w:rPr>
        <w:t xml:space="preserve"> zobrazené červeným špendlíkem na mapě</w:t>
      </w:r>
      <w:r w:rsidRPr="00083FE3">
        <w:rPr>
          <w:b/>
          <w:sz w:val="24"/>
        </w:rPr>
        <w:t>:</w:t>
      </w:r>
    </w:p>
    <w:p w:rsidR="00083FE3" w:rsidRDefault="00083FE3" w:rsidP="00083FE3">
      <w:pPr>
        <w:pStyle w:val="Nadpis1"/>
        <w:rPr>
          <w:rFonts w:ascii="Arial" w:hAnsi="Arial" w:cs="Arial"/>
          <w:b w:val="0"/>
          <w:sz w:val="22"/>
        </w:rPr>
      </w:pPr>
      <w:r w:rsidRPr="00083FE3">
        <w:rPr>
          <w:b w:val="0"/>
          <w:sz w:val="24"/>
        </w:rPr>
        <w:t>GPS souřadnice:</w:t>
      </w:r>
      <w:r>
        <w:rPr>
          <w:b w:val="0"/>
          <w:sz w:val="24"/>
        </w:rPr>
        <w:t xml:space="preserve"> </w:t>
      </w:r>
      <w:r w:rsidRPr="00083FE3">
        <w:rPr>
          <w:rFonts w:ascii="Arial" w:hAnsi="Arial" w:cs="Arial"/>
          <w:b w:val="0"/>
          <w:sz w:val="22"/>
        </w:rPr>
        <w:t>49°58'53.0"N 12°47'21.2"E</w:t>
      </w:r>
    </w:p>
    <w:p w:rsidR="00083FE3" w:rsidRPr="00083FE3" w:rsidRDefault="00083FE3" w:rsidP="00083FE3">
      <w:pPr>
        <w:pStyle w:val="Nadpis1"/>
        <w:rPr>
          <w:rFonts w:ascii="Arial" w:hAnsi="Arial" w:cs="Arial"/>
          <w:b w:val="0"/>
          <w:sz w:val="22"/>
        </w:rPr>
      </w:pPr>
    </w:p>
    <w:p w:rsidR="00083FE3" w:rsidRDefault="00083FE3">
      <w:r>
        <w:rPr>
          <w:noProof/>
          <w:lang w:eastAsia="cs-CZ"/>
        </w:rPr>
        <w:drawing>
          <wp:inline distT="0" distB="0" distL="0" distR="0" wp14:anchorId="73FAF01A" wp14:editId="2983D09C">
            <wp:extent cx="5760720" cy="348043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3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2C"/>
    <w:rsid w:val="00057C4B"/>
    <w:rsid w:val="00083FE3"/>
    <w:rsid w:val="00132DF1"/>
    <w:rsid w:val="001726B7"/>
    <w:rsid w:val="00184B50"/>
    <w:rsid w:val="00393E6E"/>
    <w:rsid w:val="005C71BE"/>
    <w:rsid w:val="0060126F"/>
    <w:rsid w:val="006A1E2C"/>
    <w:rsid w:val="006C6E52"/>
    <w:rsid w:val="006F6EC4"/>
    <w:rsid w:val="00D45DEF"/>
    <w:rsid w:val="00D5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83F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Vrazncitt">
    <w:name w:val="Intense Quote"/>
    <w:basedOn w:val="Normln"/>
    <w:next w:val="Normln"/>
    <w:link w:val="VrazncittChar"/>
    <w:uiPriority w:val="30"/>
    <w:qFormat/>
    <w:rsid w:val="00D45D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45DEF"/>
    <w:rPr>
      <w:b/>
      <w:bCs/>
      <w:i/>
      <w:iCs/>
      <w:color w:val="4F81BD" w:themeColor="accent1"/>
    </w:rPr>
  </w:style>
  <w:style w:type="table" w:styleId="Mkatabulky">
    <w:name w:val="Table Grid"/>
    <w:basedOn w:val="Normlntabulka"/>
    <w:uiPriority w:val="59"/>
    <w:rsid w:val="006C6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7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6B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83FE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83F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Vrazncitt">
    <w:name w:val="Intense Quote"/>
    <w:basedOn w:val="Normln"/>
    <w:next w:val="Normln"/>
    <w:link w:val="VrazncittChar"/>
    <w:uiPriority w:val="30"/>
    <w:qFormat/>
    <w:rsid w:val="00D45DE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45DEF"/>
    <w:rPr>
      <w:b/>
      <w:bCs/>
      <w:i/>
      <w:iCs/>
      <w:color w:val="4F81BD" w:themeColor="accent1"/>
    </w:rPr>
  </w:style>
  <w:style w:type="table" w:styleId="Mkatabulky">
    <w:name w:val="Table Grid"/>
    <w:basedOn w:val="Normlntabulka"/>
    <w:uiPriority w:val="59"/>
    <w:rsid w:val="006C6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7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6B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83FE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512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František Malár</cp:lastModifiedBy>
  <cp:revision>7</cp:revision>
  <dcterms:created xsi:type="dcterms:W3CDTF">2018-08-27T12:01:00Z</dcterms:created>
  <dcterms:modified xsi:type="dcterms:W3CDTF">2019-06-17T07:43:00Z</dcterms:modified>
</cp:coreProperties>
</file>